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48668B98"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CE0BF7">
        <w:t>9</w:t>
      </w:r>
      <w:r w:rsidR="00FE7FD8">
        <w:t>4</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C71B62" w:rsidRPr="00C71B62">
        <w:rPr>
          <w:sz w:val="32"/>
          <w:szCs w:val="32"/>
        </w:rPr>
        <w:t>1809472</w:t>
      </w:r>
    </w:p>
    <w:p w14:paraId="51C3D3E7" w14:textId="4363E2C7" w:rsidR="00E90E49" w:rsidRPr="00CE0424" w:rsidRDefault="00FE7FD8" w:rsidP="00311702">
      <w:pPr>
        <w:pStyle w:val="3GPPHeader"/>
      </w:pPr>
      <w:proofErr w:type="spellStart"/>
      <w:r>
        <w:t>Göteborg</w:t>
      </w:r>
      <w:proofErr w:type="spellEnd"/>
      <w:r w:rsidR="0027144F" w:rsidRPr="00CE0BF7">
        <w:t xml:space="preserve">, </w:t>
      </w:r>
      <w:r>
        <w:t>Sweden</w:t>
      </w:r>
      <w:r w:rsidR="0027144F" w:rsidRPr="00CE0BF7">
        <w:t xml:space="preserve">, </w:t>
      </w:r>
      <w:r>
        <w:t>August</w:t>
      </w:r>
      <w:r w:rsidR="00CE0BF7" w:rsidRPr="00CE0BF7">
        <w:t xml:space="preserve"> 2</w:t>
      </w:r>
      <w:r>
        <w:t>0</w:t>
      </w:r>
      <w:r>
        <w:rPr>
          <w:vertAlign w:val="superscript"/>
        </w:rPr>
        <w:t>th</w:t>
      </w:r>
      <w:r w:rsidR="00CE0BF7" w:rsidRPr="00CE0BF7">
        <w:t xml:space="preserve"> – 2</w:t>
      </w:r>
      <w:r>
        <w:t>4</w:t>
      </w:r>
      <w:r w:rsidR="00CE0BF7" w:rsidRPr="00CE0BF7">
        <w:rPr>
          <w:vertAlign w:val="superscript"/>
        </w:rPr>
        <w:t>th</w:t>
      </w:r>
      <w:r w:rsidR="00C37CB2" w:rsidRPr="00CE0BF7">
        <w:t xml:space="preserve"> </w:t>
      </w:r>
      <w:r w:rsidR="0027144F" w:rsidRPr="00CE0BF7">
        <w:t>20</w:t>
      </w:r>
      <w:r w:rsidR="005F3025" w:rsidRPr="00CE0BF7">
        <w:t>1</w:t>
      </w:r>
      <w:r w:rsidR="001D53E7" w:rsidRPr="00CE0BF7">
        <w:t>8</w:t>
      </w:r>
    </w:p>
    <w:p w14:paraId="60A5317D" w14:textId="77777777" w:rsidR="00E90E49" w:rsidRPr="00CE0424" w:rsidRDefault="00E90E49" w:rsidP="00357380">
      <w:pPr>
        <w:pStyle w:val="3GPPHeader"/>
      </w:pPr>
    </w:p>
    <w:p w14:paraId="3C6869D1" w14:textId="574627FF" w:rsidR="00E90E49" w:rsidRPr="00C71B62" w:rsidRDefault="00E90E49" w:rsidP="00311702">
      <w:pPr>
        <w:pStyle w:val="3GPPHeader"/>
        <w:rPr>
          <w:sz w:val="22"/>
          <w:szCs w:val="22"/>
          <w:lang w:val="sv-FI"/>
        </w:rPr>
      </w:pPr>
      <w:r w:rsidRPr="008F1C4E">
        <w:rPr>
          <w:sz w:val="22"/>
          <w:szCs w:val="22"/>
          <w:lang w:val="sv-FI"/>
        </w:rPr>
        <w:t xml:space="preserve">Agenda </w:t>
      </w:r>
      <w:r w:rsidRPr="00C71B62">
        <w:rPr>
          <w:sz w:val="22"/>
          <w:szCs w:val="22"/>
          <w:lang w:val="sv-FI"/>
        </w:rPr>
        <w:t>Item:</w:t>
      </w:r>
      <w:r w:rsidRPr="00C71B62">
        <w:rPr>
          <w:sz w:val="22"/>
          <w:szCs w:val="22"/>
          <w:lang w:val="sv-FI"/>
        </w:rPr>
        <w:tab/>
      </w:r>
      <w:r w:rsidR="00C71B62" w:rsidRPr="00C71B62">
        <w:rPr>
          <w:sz w:val="22"/>
          <w:szCs w:val="22"/>
          <w:lang w:val="sv-FI"/>
        </w:rPr>
        <w:t>6.2.4</w:t>
      </w:r>
    </w:p>
    <w:p w14:paraId="0CB055DD" w14:textId="77777777" w:rsidR="00E90E49" w:rsidRPr="00C71B62" w:rsidRDefault="003D3C45" w:rsidP="00F64C2B">
      <w:pPr>
        <w:pStyle w:val="3GPPHeader"/>
        <w:rPr>
          <w:sz w:val="22"/>
          <w:szCs w:val="22"/>
        </w:rPr>
      </w:pPr>
      <w:r w:rsidRPr="00C71B62">
        <w:rPr>
          <w:sz w:val="22"/>
          <w:szCs w:val="22"/>
        </w:rPr>
        <w:t>Source:</w:t>
      </w:r>
      <w:r w:rsidR="00E90E49" w:rsidRPr="00C71B62">
        <w:rPr>
          <w:sz w:val="22"/>
          <w:szCs w:val="22"/>
        </w:rPr>
        <w:tab/>
      </w:r>
      <w:r w:rsidR="00F64C2B" w:rsidRPr="00C71B62">
        <w:rPr>
          <w:sz w:val="22"/>
          <w:szCs w:val="22"/>
        </w:rPr>
        <w:t>Ericsson</w:t>
      </w:r>
    </w:p>
    <w:p w14:paraId="63DAB814" w14:textId="35AD2441" w:rsidR="00E90E49" w:rsidRPr="00C71B62" w:rsidRDefault="003D3C45" w:rsidP="00311702">
      <w:pPr>
        <w:pStyle w:val="3GPPHeader"/>
        <w:rPr>
          <w:sz w:val="22"/>
          <w:szCs w:val="22"/>
        </w:rPr>
      </w:pPr>
      <w:r w:rsidRPr="00C71B62">
        <w:rPr>
          <w:sz w:val="22"/>
          <w:szCs w:val="22"/>
        </w:rPr>
        <w:t>Title:</w:t>
      </w:r>
      <w:r w:rsidR="00E90E49" w:rsidRPr="00C71B62">
        <w:rPr>
          <w:sz w:val="22"/>
          <w:szCs w:val="22"/>
        </w:rPr>
        <w:tab/>
      </w:r>
      <w:r w:rsidR="00C71B62" w:rsidRPr="00C71B62">
        <w:rPr>
          <w:sz w:val="22"/>
          <w:szCs w:val="22"/>
        </w:rPr>
        <w:t>On configurable wideband PRG size for TM9 and TM10</w:t>
      </w:r>
    </w:p>
    <w:p w14:paraId="58D4CB54" w14:textId="77777777" w:rsidR="00E90E49" w:rsidRPr="00C71B62" w:rsidRDefault="00E90E49" w:rsidP="00D546FF">
      <w:pPr>
        <w:pStyle w:val="3GPPHeader"/>
        <w:rPr>
          <w:sz w:val="22"/>
          <w:szCs w:val="22"/>
        </w:rPr>
      </w:pPr>
      <w:r w:rsidRPr="00C71B62">
        <w:rPr>
          <w:sz w:val="22"/>
          <w:szCs w:val="22"/>
        </w:rPr>
        <w:t>Document for:</w:t>
      </w:r>
      <w:r w:rsidRPr="00C71B62">
        <w:rPr>
          <w:sz w:val="22"/>
          <w:szCs w:val="22"/>
        </w:rPr>
        <w:tab/>
        <w:t>Discussion,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7C48702B" w14:textId="382A1688" w:rsidR="00477768" w:rsidRPr="00543D65" w:rsidRDefault="006065D9" w:rsidP="00CE0424">
      <w:pPr>
        <w:pStyle w:val="BodyText"/>
        <w:rPr>
          <w:rFonts w:ascii="Times New Roman" w:hAnsi="Times New Roman"/>
        </w:rPr>
      </w:pPr>
      <w:r w:rsidRPr="00543D65">
        <w:rPr>
          <w:rFonts w:ascii="Times New Roman" w:hAnsi="Times New Roman"/>
        </w:rPr>
        <w:t>At</w:t>
      </w:r>
      <w:r w:rsidR="00C71B62" w:rsidRPr="00543D65">
        <w:rPr>
          <w:rFonts w:ascii="Times New Roman" w:hAnsi="Times New Roman"/>
        </w:rPr>
        <w:t xml:space="preserve"> RAN1#93, a proposal to introduce a configurable wideband PRG size for LTE’s TM9 and TM10 was </w:t>
      </w:r>
      <w:r w:rsidRPr="00543D65">
        <w:rPr>
          <w:rFonts w:ascii="Times New Roman" w:hAnsi="Times New Roman"/>
        </w:rPr>
        <w:t>presented</w:t>
      </w:r>
      <w:r w:rsidR="00C71B62" w:rsidRPr="00543D65">
        <w:rPr>
          <w:rFonts w:ascii="Times New Roman" w:hAnsi="Times New Roman"/>
        </w:rPr>
        <w:t xml:space="preserve"> [1]. </w:t>
      </w:r>
      <w:r w:rsidRPr="00543D65">
        <w:rPr>
          <w:rFonts w:ascii="Times New Roman" w:hAnsi="Times New Roman"/>
        </w:rPr>
        <w:t>In this paper, we discuss this proposal and present some link level simulation results.</w:t>
      </w:r>
      <w:bookmarkStart w:id="0" w:name="_GoBack"/>
      <w:bookmarkEnd w:id="0"/>
    </w:p>
    <w:p w14:paraId="6D59C9FF" w14:textId="2FC9DA38" w:rsidR="00543D65" w:rsidRDefault="00230D18" w:rsidP="00543D65">
      <w:pPr>
        <w:pStyle w:val="Heading1"/>
      </w:pPr>
      <w:bookmarkStart w:id="1" w:name="_Ref178064866"/>
      <w:r>
        <w:t>2</w:t>
      </w:r>
      <w:r>
        <w:tab/>
      </w:r>
      <w:r w:rsidR="004000E8" w:rsidRPr="00CE0424">
        <w:t>Discussion</w:t>
      </w:r>
      <w:bookmarkEnd w:id="1"/>
      <w:r w:rsidR="00543D65">
        <w:t xml:space="preserve"> and evaluation results</w:t>
      </w:r>
    </w:p>
    <w:p w14:paraId="01324567" w14:textId="60D94B72" w:rsidR="005668B6" w:rsidRDefault="005668B6" w:rsidP="00543D65">
      <w:r>
        <w:t>LTE features a fixed PRG size which depends on the system bandwidth</w:t>
      </w:r>
      <w:r w:rsidR="005F33CA">
        <w:t xml:space="preserve"> but varies between 1 and 3 PRBs</w:t>
      </w:r>
      <w:r>
        <w:t xml:space="preserve">. The motivation for defining the PRG size is to </w:t>
      </w:r>
      <w:r w:rsidR="005F33CA">
        <w:t>provide an assumption to</w:t>
      </w:r>
      <w:r>
        <w:t xml:space="preserve"> </w:t>
      </w:r>
      <w:r w:rsidR="005F33CA">
        <w:t>the UE</w:t>
      </w:r>
      <w:r>
        <w:t xml:space="preserve"> regarding on </w:t>
      </w:r>
      <w:r w:rsidR="005F33CA">
        <w:t>which PRBs the precoding on DMRS is constant, so that it can apply channel filtering across those PRBs without having to worry about phase discontinuities which would degrade the channel estimation performance. A small PRG size allows for more frequency-selective precoding which is useful especially for MU-MIMO, but on the other hand give less DMRS processing gain since the channel estimation have a smaller number of reference symbols to average over. So</w:t>
      </w:r>
      <w:r w:rsidR="00536751">
        <w:t>,</w:t>
      </w:r>
      <w:r w:rsidR="005F33CA">
        <w:t xml:space="preserve"> the optimal PRG size is a trade-off between the gain of frequency-selective precoding and the DMRS processing gain. However, the amount of achievable processing gain also depends on the frequency-selectivity of the channel, which is determined by its delay spread</w:t>
      </w:r>
      <w:r w:rsidR="00536751">
        <w:t>.</w:t>
      </w:r>
      <w:r w:rsidR="005F33CA">
        <w:t xml:space="preserve"> </w:t>
      </w:r>
      <w:r w:rsidR="00536751">
        <w:t>A</w:t>
      </w:r>
      <w:r w:rsidR="005F33CA">
        <w:t xml:space="preserve"> sufficiently low delay spread is required to fully </w:t>
      </w:r>
      <w:r w:rsidR="00536751">
        <w:t>utilize the benefit of larger PRG size.</w:t>
      </w:r>
    </w:p>
    <w:p w14:paraId="28E574FD" w14:textId="14ECBEFD" w:rsidR="005668B6" w:rsidRDefault="00536751" w:rsidP="00543D65">
      <w:r>
        <w:t>In some cases, such as when the UE is on the cell edge has a low SINR, it may neither have sufficient UL coverage to transmit SRS to be used for reciprocity-based MU-MIMO transmission, nor have enough coverage to feed back a subband CSI report, and hence the optimal precoding strategy may be to use a wideband precoder. In that case, the DMRS channel estimation is likely also challenged and the UE would benefit from additional processing gain. Thus, in this case it could be beneficial for the UE to be configured with a wideband PRG size instead of using the legacy narrow PRG.</w:t>
      </w:r>
    </w:p>
    <w:p w14:paraId="05707C0E" w14:textId="1C99CF58" w:rsidR="00543D65" w:rsidRPr="00543D65" w:rsidRDefault="00543D65" w:rsidP="00543D65">
      <w:r>
        <w:t>To evaluate the benefit of increasing the PRG size, link level simulations are performed using the CDL-A channel model with either 100ns or 300ns delay spread. An LTE TM10 system with 20MHz bandwidth is evaluated, using 16Tx and 2Rx and where the precoding is based on wideband PMI feedback using the Rel-13 Class A codebook, i.e. wideband precoding is used. The legacy PRG size of 2 PRBs is compared to a PRG size consisting of the entire scheduled bandwidth (i.e. 100 PRBs). For the</w:t>
      </w:r>
      <w:r w:rsidR="005668B6">
        <w:t xml:space="preserve"> 2 PRB PRG size case, a Weiner filter based DMRS channel estimator is used while for the wideband PRG size, a DCT based channel estimator is used. The relative throughput gain is presented in </w:t>
      </w:r>
      <w:r w:rsidR="005668B6">
        <w:fldChar w:fldCharType="begin"/>
      </w:r>
      <w:r w:rsidR="005668B6">
        <w:instrText xml:space="preserve"> REF _Ref521681633 \h </w:instrText>
      </w:r>
      <w:r w:rsidR="005668B6">
        <w:fldChar w:fldCharType="separate"/>
      </w:r>
      <w:r w:rsidR="005668B6">
        <w:t xml:space="preserve">Figure </w:t>
      </w:r>
      <w:r w:rsidR="005668B6">
        <w:rPr>
          <w:noProof/>
        </w:rPr>
        <w:t>1</w:t>
      </w:r>
      <w:r w:rsidR="005668B6">
        <w:fldChar w:fldCharType="end"/>
      </w:r>
      <w:r w:rsidR="005668B6">
        <w:t>. For the 100 ns DS case, around ~10% throughput gain is observed in the low SNR region (around -5dB) while the gain saturates with higher SNR. For the 300 ns DS case though, there is essentially no difference in performance between the evaluated systems.</w:t>
      </w:r>
    </w:p>
    <w:p w14:paraId="5B23F3E9" w14:textId="77777777" w:rsidR="00523193" w:rsidRDefault="00523193" w:rsidP="00543D65">
      <w:pPr>
        <w:keepNext/>
        <w:jc w:val="center"/>
      </w:pPr>
      <w:r w:rsidRPr="00523193">
        <w:lastRenderedPageBreak/>
        <w:drawing>
          <wp:inline distT="0" distB="0" distL="0" distR="0" wp14:anchorId="434EC946" wp14:editId="23F04456">
            <wp:extent cx="4564684" cy="3347151"/>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567137" cy="3348950"/>
                    </a:xfrm>
                    <a:prstGeom prst="rect">
                      <a:avLst/>
                    </a:prstGeom>
                  </pic:spPr>
                </pic:pic>
              </a:graphicData>
            </a:graphic>
          </wp:inline>
        </w:drawing>
      </w:r>
    </w:p>
    <w:p w14:paraId="157A478E" w14:textId="77777777" w:rsidR="00523193" w:rsidRDefault="00523193" w:rsidP="00523193">
      <w:pPr>
        <w:pStyle w:val="Caption"/>
        <w:jc w:val="center"/>
      </w:pPr>
      <w:bookmarkStart w:id="2" w:name="_Ref521681633"/>
      <w:r>
        <w:t xml:space="preserve">Figure </w:t>
      </w:r>
      <w:r>
        <w:fldChar w:fldCharType="begin"/>
      </w:r>
      <w:r>
        <w:instrText xml:space="preserve"> SEQ Figure \* ARABIC </w:instrText>
      </w:r>
      <w:r>
        <w:fldChar w:fldCharType="separate"/>
      </w:r>
      <w:r>
        <w:rPr>
          <w:noProof/>
        </w:rPr>
        <w:t>1</w:t>
      </w:r>
      <w:r>
        <w:fldChar w:fldCharType="end"/>
      </w:r>
      <w:bookmarkEnd w:id="2"/>
      <w:r>
        <w:t>: Relative gain of wideband PRG size over legacy PRG size</w:t>
      </w:r>
    </w:p>
    <w:p w14:paraId="1D35EF93" w14:textId="77777777" w:rsidR="00543D65" w:rsidRDefault="00543D65" w:rsidP="00543D65">
      <w:pPr>
        <w:rPr>
          <w:lang w:eastAsia="en-GB"/>
        </w:rPr>
      </w:pPr>
    </w:p>
    <w:p w14:paraId="3EF34368" w14:textId="77777777" w:rsidR="00543D65" w:rsidRDefault="00543D65" w:rsidP="00543D65">
      <w:pPr>
        <w:pStyle w:val="Observation"/>
        <w:rPr>
          <w:lang w:eastAsia="en-GB"/>
        </w:rPr>
      </w:pPr>
      <w:bookmarkStart w:id="3" w:name="_Toc521683923"/>
      <w:r>
        <w:rPr>
          <w:lang w:eastAsia="en-GB"/>
        </w:rPr>
        <w:t>For low delay spread scenario, ~10% throughput gain is observed at low SNR range, while for moderate delay spread scenario, no throughput gain is observed</w:t>
      </w:r>
      <w:bookmarkEnd w:id="3"/>
    </w:p>
    <w:p w14:paraId="2D10CE77" w14:textId="6BED9B75" w:rsidR="005668B6" w:rsidRDefault="005668B6" w:rsidP="005668B6">
      <w:pPr>
        <w:pStyle w:val="Observation"/>
        <w:numPr>
          <w:ilvl w:val="0"/>
          <w:numId w:val="0"/>
        </w:numPr>
        <w:ind w:left="1701" w:hanging="1701"/>
        <w:rPr>
          <w:lang w:eastAsia="en-GB"/>
        </w:rPr>
      </w:pPr>
    </w:p>
    <w:p w14:paraId="1571DAB5" w14:textId="75CADFCA" w:rsidR="005668B6" w:rsidRDefault="00536751" w:rsidP="00536751">
      <w:pPr>
        <w:rPr>
          <w:lang w:eastAsia="en-GB"/>
        </w:rPr>
      </w:pPr>
      <w:r>
        <w:rPr>
          <w:lang w:eastAsia="en-GB"/>
        </w:rPr>
        <w:t xml:space="preserve">From </w:t>
      </w:r>
      <w:r w:rsidR="00266604">
        <w:rPr>
          <w:lang w:eastAsia="en-GB"/>
        </w:rPr>
        <w:t xml:space="preserve">the presented simulations, it can be observed that there is some benefit with wideband PRG size for UEs in the low SNR range which also experience a low delay spread. However, in typical macro cell propagation environments, it is highly likely that UEs which experience low SINR (such as UEs on the cell edge or deep indoor UEs) also experience channels with a moderate to high delay spread. Thus, it is not obvious that the combination of low SNR and low delay spread UEs make up a sufficiently large part of the served UEs in a cell so that a performance gain can be observed on system level. We therefore propose that system level evaluations should be performed </w:t>
      </w:r>
      <w:proofErr w:type="gramStart"/>
      <w:r w:rsidR="00266604">
        <w:rPr>
          <w:lang w:eastAsia="en-GB"/>
        </w:rPr>
        <w:t>in order to</w:t>
      </w:r>
      <w:proofErr w:type="gramEnd"/>
      <w:r w:rsidR="00266604">
        <w:rPr>
          <w:lang w:eastAsia="en-GB"/>
        </w:rPr>
        <w:t xml:space="preserve"> determine if a configurable wideband PRG size should be considered for introduction in LTE</w:t>
      </w:r>
    </w:p>
    <w:p w14:paraId="02F842F8" w14:textId="799CC903" w:rsidR="00266604" w:rsidRDefault="00266604" w:rsidP="00266604">
      <w:pPr>
        <w:pStyle w:val="Observation"/>
        <w:rPr>
          <w:lang w:eastAsia="en-GB"/>
        </w:rPr>
      </w:pPr>
      <w:bookmarkStart w:id="4" w:name="_Toc521683924"/>
      <w:r>
        <w:rPr>
          <w:lang w:eastAsia="en-GB"/>
        </w:rPr>
        <w:t xml:space="preserve">It is not clear that the </w:t>
      </w:r>
      <w:r w:rsidRPr="00266604">
        <w:rPr>
          <w:lang w:eastAsia="en-GB"/>
        </w:rPr>
        <w:t>that the combination of low SNR and low delay spread UEs make up a sufficiently large part of the served UEs in a cell so that a performance gain can be observed on system level</w:t>
      </w:r>
      <w:r>
        <w:rPr>
          <w:lang w:eastAsia="en-GB"/>
        </w:rPr>
        <w:t xml:space="preserve"> with wideband PRG size</w:t>
      </w:r>
      <w:bookmarkEnd w:id="4"/>
    </w:p>
    <w:p w14:paraId="0ED86351" w14:textId="26249173" w:rsidR="00266604" w:rsidRDefault="00266604" w:rsidP="00266604">
      <w:pPr>
        <w:pStyle w:val="Proposal"/>
      </w:pPr>
      <w:bookmarkStart w:id="5" w:name="_Toc521683925"/>
      <w:r>
        <w:t>Decide if wideband PRG size needs to be introduced or not based on system level evaluations</w:t>
      </w:r>
      <w:bookmarkEnd w:id="5"/>
    </w:p>
    <w:p w14:paraId="7C3DDA53" w14:textId="77777777" w:rsidR="005668B6" w:rsidRDefault="005668B6" w:rsidP="005668B6">
      <w:pPr>
        <w:pStyle w:val="Observation"/>
        <w:numPr>
          <w:ilvl w:val="0"/>
          <w:numId w:val="0"/>
        </w:numPr>
        <w:ind w:left="1701" w:hanging="1701"/>
        <w:rPr>
          <w:lang w:eastAsia="en-GB"/>
        </w:rPr>
      </w:pPr>
    </w:p>
    <w:p w14:paraId="3E22AAD8" w14:textId="78CD6F90" w:rsidR="005668B6" w:rsidRPr="00543D65" w:rsidRDefault="005668B6" w:rsidP="005668B6">
      <w:pPr>
        <w:pStyle w:val="Observation"/>
        <w:numPr>
          <w:ilvl w:val="0"/>
          <w:numId w:val="0"/>
        </w:numPr>
        <w:ind w:left="1701" w:hanging="1701"/>
        <w:rPr>
          <w:lang w:eastAsia="en-GB"/>
        </w:rPr>
        <w:sectPr w:rsidR="005668B6" w:rsidRPr="00543D65" w:rsidSect="00C71B62">
          <w:headerReference w:type="even" r:id="rId9"/>
          <w:footerReference w:type="default" r:id="rId10"/>
          <w:footnotePr>
            <w:numRestart w:val="eachSect"/>
          </w:footnotePr>
          <w:pgSz w:w="11907" w:h="16840" w:code="9"/>
          <w:pgMar w:top="1418" w:right="1134" w:bottom="1134" w:left="1134" w:header="680" w:footer="567" w:gutter="0"/>
          <w:cols w:space="720"/>
          <w:docGrid w:linePitch="272"/>
        </w:sectPr>
      </w:pPr>
    </w:p>
    <w:p w14:paraId="5300F849" w14:textId="77777777" w:rsidR="00C01F33" w:rsidRPr="00CE0424" w:rsidRDefault="00C01F33" w:rsidP="00CE0424">
      <w:pPr>
        <w:pStyle w:val="Heading1"/>
      </w:pPr>
      <w:r w:rsidRPr="00CE0424">
        <w:lastRenderedPageBreak/>
        <w:t>Conclusion</w:t>
      </w:r>
    </w:p>
    <w:p w14:paraId="6741DDD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88E914B" w14:textId="47826D75" w:rsidR="00266604"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521683923" w:history="1">
        <w:r w:rsidR="00266604" w:rsidRPr="00B45B6C">
          <w:rPr>
            <w:rStyle w:val="Hyperlink"/>
            <w:noProof/>
            <w:lang w:eastAsia="en-GB"/>
          </w:rPr>
          <w:t>Observation 1</w:t>
        </w:r>
        <w:r w:rsidR="00266604">
          <w:rPr>
            <w:rFonts w:asciiTheme="minorHAnsi" w:eastAsiaTheme="minorEastAsia" w:hAnsiTheme="minorHAnsi" w:cstheme="minorBidi"/>
            <w:b w:val="0"/>
            <w:noProof/>
            <w:sz w:val="22"/>
            <w:szCs w:val="22"/>
            <w:lang w:val="en-US" w:eastAsia="en-US"/>
          </w:rPr>
          <w:tab/>
        </w:r>
        <w:r w:rsidR="00266604" w:rsidRPr="00B45B6C">
          <w:rPr>
            <w:rStyle w:val="Hyperlink"/>
            <w:noProof/>
            <w:lang w:eastAsia="en-GB"/>
          </w:rPr>
          <w:t>For low delay spread scenario, ~10% throughput gain is observed at low SNR range, while for moderate delay spread scenario, no throughput gain is observed</w:t>
        </w:r>
      </w:hyperlink>
    </w:p>
    <w:p w14:paraId="4068DA7D" w14:textId="385CC9FD" w:rsidR="00266604" w:rsidRDefault="0026660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683924" w:history="1">
        <w:r w:rsidRPr="00B45B6C">
          <w:rPr>
            <w:rStyle w:val="Hyperlink"/>
            <w:noProof/>
            <w:lang w:eastAsia="en-GB"/>
          </w:rPr>
          <w:t>Observation 2</w:t>
        </w:r>
        <w:r>
          <w:rPr>
            <w:rFonts w:asciiTheme="minorHAnsi" w:eastAsiaTheme="minorEastAsia" w:hAnsiTheme="minorHAnsi" w:cstheme="minorBidi"/>
            <w:b w:val="0"/>
            <w:noProof/>
            <w:sz w:val="22"/>
            <w:szCs w:val="22"/>
            <w:lang w:val="en-US" w:eastAsia="en-US"/>
          </w:rPr>
          <w:tab/>
        </w:r>
        <w:r w:rsidRPr="00B45B6C">
          <w:rPr>
            <w:rStyle w:val="Hyperlink"/>
            <w:noProof/>
            <w:lang w:eastAsia="en-GB"/>
          </w:rPr>
          <w:t>It is not clear that the that the combination of low SNR and low delay spread UEs make up a sufficiently large part of the served UEs in a cell so that a performance gain can be observed on system level with wideband PRG size</w:t>
        </w:r>
      </w:hyperlink>
    </w:p>
    <w:p w14:paraId="62D061AB" w14:textId="0C4FB2E4" w:rsidR="006E1C82" w:rsidRDefault="006F6582" w:rsidP="008E065E">
      <w:pPr>
        <w:pStyle w:val="BodyText"/>
        <w:rPr>
          <w:b/>
          <w:bCs/>
        </w:rPr>
      </w:pPr>
      <w:r>
        <w:rPr>
          <w:b/>
          <w:bCs/>
        </w:rPr>
        <w:fldChar w:fldCharType="end"/>
      </w:r>
    </w:p>
    <w:p w14:paraId="7AFEA5A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0DA67BB" w14:textId="4434A0BA" w:rsidR="00266604"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1683925" w:history="1">
        <w:r w:rsidR="00266604" w:rsidRPr="00E6261F">
          <w:rPr>
            <w:rStyle w:val="Hyperlink"/>
            <w:noProof/>
          </w:rPr>
          <w:t>Proposal 1</w:t>
        </w:r>
        <w:r w:rsidR="00266604">
          <w:rPr>
            <w:rFonts w:asciiTheme="minorHAnsi" w:eastAsiaTheme="minorEastAsia" w:hAnsiTheme="minorHAnsi" w:cstheme="minorBidi"/>
            <w:b w:val="0"/>
            <w:noProof/>
            <w:sz w:val="22"/>
            <w:szCs w:val="22"/>
            <w:lang w:val="en-US" w:eastAsia="en-US"/>
          </w:rPr>
          <w:tab/>
        </w:r>
        <w:r w:rsidR="00266604" w:rsidRPr="00E6261F">
          <w:rPr>
            <w:rStyle w:val="Hyperlink"/>
            <w:noProof/>
          </w:rPr>
          <w:t>Decide if wideband PRG size needs to be introduced or not based on system level evaluations</w:t>
        </w:r>
      </w:hyperlink>
    </w:p>
    <w:p w14:paraId="5A1EB9E8" w14:textId="41D76F6C" w:rsidR="006E1C82" w:rsidRPr="00CE0424" w:rsidRDefault="006E1C82" w:rsidP="006E1C82">
      <w:pPr>
        <w:pStyle w:val="BodyText"/>
        <w:rPr>
          <w:b/>
          <w:bCs/>
        </w:rPr>
      </w:pPr>
      <w:r>
        <w:rPr>
          <w:b/>
          <w:bCs/>
          <w:lang w:val="en-US"/>
        </w:rPr>
        <w:fldChar w:fldCharType="end"/>
      </w:r>
      <w:r w:rsidRPr="00CE0424">
        <w:rPr>
          <w:b/>
          <w:bCs/>
        </w:rPr>
        <w:t xml:space="preserve"> </w:t>
      </w:r>
    </w:p>
    <w:p w14:paraId="7203AEF7" w14:textId="77777777" w:rsidR="00F507D1" w:rsidRPr="00CE0424" w:rsidRDefault="00F507D1" w:rsidP="00CE0424">
      <w:pPr>
        <w:pStyle w:val="Heading1"/>
      </w:pPr>
      <w:bookmarkStart w:id="6" w:name="_In-sequence_SDU_delivery"/>
      <w:bookmarkEnd w:id="6"/>
      <w:r w:rsidRPr="00CE0424">
        <w:t>References</w:t>
      </w:r>
    </w:p>
    <w:p w14:paraId="0034D3CC" w14:textId="5E160396" w:rsidR="003A7EF3" w:rsidRPr="00CE0424" w:rsidRDefault="00C71B62" w:rsidP="00C71B62">
      <w:pPr>
        <w:pStyle w:val="Reference"/>
      </w:pPr>
      <w:r>
        <w:t>R1-1806453</w:t>
      </w:r>
      <w:r>
        <w:t>, “</w:t>
      </w:r>
      <w:r w:rsidRPr="00C71B62">
        <w:t>Discussion on PRG size for TM9 and TM10</w:t>
      </w:r>
      <w:r>
        <w:t xml:space="preserve">”, Huawei, HiSilicon, </w:t>
      </w:r>
      <w:r>
        <w:t>3GPP TSG RAN WG1 Meeting #93</w:t>
      </w:r>
      <w:r>
        <w:t xml:space="preserve">, </w:t>
      </w:r>
      <w:r>
        <w:t>Busan, Korea, May 21 – May 25, 2018</w:t>
      </w: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B42CCD" w14:textId="77777777" w:rsidR="00737BBC" w:rsidRDefault="00737BBC">
      <w:r>
        <w:separator/>
      </w:r>
    </w:p>
  </w:endnote>
  <w:endnote w:type="continuationSeparator" w:id="0">
    <w:p w14:paraId="4F309971" w14:textId="77777777" w:rsidR="00737BBC" w:rsidRDefault="00737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0BF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0BF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119090" w14:textId="77777777" w:rsidR="00737BBC" w:rsidRDefault="00737BBC">
      <w:r>
        <w:separator/>
      </w:r>
    </w:p>
  </w:footnote>
  <w:footnote w:type="continuationSeparator" w:id="0">
    <w:p w14:paraId="6D98D727" w14:textId="77777777" w:rsidR="00737BBC" w:rsidRDefault="00737B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660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3193"/>
    <w:rsid w:val="00534B59"/>
    <w:rsid w:val="00536751"/>
    <w:rsid w:val="00536759"/>
    <w:rsid w:val="00537C62"/>
    <w:rsid w:val="00543D65"/>
    <w:rsid w:val="00546970"/>
    <w:rsid w:val="00554E19"/>
    <w:rsid w:val="0056121F"/>
    <w:rsid w:val="005668B6"/>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33CA"/>
    <w:rsid w:val="005F618C"/>
    <w:rsid w:val="005F70BD"/>
    <w:rsid w:val="0060283C"/>
    <w:rsid w:val="00604F14"/>
    <w:rsid w:val="006065D9"/>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37BBC"/>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5F53"/>
    <w:rsid w:val="008376AC"/>
    <w:rsid w:val="00843099"/>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1B62"/>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0BF7"/>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537B"/>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09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68320B-4454-4A0E-87F0-122703B70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70</TotalTime>
  <Pages>3</Pages>
  <Words>800</Words>
  <Characters>4563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5353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Sebastian Faxér</cp:lastModifiedBy>
  <cp:revision>5</cp:revision>
  <cp:lastPrinted>2008-01-31T07:09:00Z</cp:lastPrinted>
  <dcterms:created xsi:type="dcterms:W3CDTF">2018-05-02T12:08:00Z</dcterms:created>
  <dcterms:modified xsi:type="dcterms:W3CDTF">2018-08-10T15:03:00Z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